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D4" w:rsidRDefault="004B7165" w:rsidP="00AA01D4">
      <w:pPr>
        <w:widowControl/>
        <w:wordWrap/>
        <w:autoSpaceDE/>
        <w:snapToGrid w:val="0"/>
        <w:spacing w:line="360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Table 1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:</w:t>
      </w:r>
      <w:r w:rsidR="00AA01D4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>Hemato</w:t>
      </w:r>
      <w:r w:rsidR="00AA01D4">
        <w:rPr>
          <w:rFonts w:ascii="Times New Roman" w:hAnsi="Times New Roman" w:cs="Times New Roman"/>
          <w:kern w:val="0"/>
          <w:sz w:val="24"/>
          <w:szCs w:val="24"/>
        </w:rPr>
        <w:t>-biochemical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 xml:space="preserve"> </w:t>
      </w:r>
      <w:r w:rsidR="00AA01D4">
        <w:rPr>
          <w:rFonts w:ascii="Times New Roman" w:hAnsi="Times New Roman" w:cs="Times New Roman"/>
          <w:kern w:val="0"/>
          <w:sz w:val="24"/>
          <w:szCs w:val="24"/>
        </w:rPr>
        <w:t>characteristics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 xml:space="preserve"> </w:t>
      </w:r>
      <w:r w:rsidR="00AA01D4">
        <w:rPr>
          <w:rFonts w:ascii="Times New Roman" w:hAnsi="Times New Roman" w:cs="Times New Roman"/>
          <w:kern w:val="0"/>
          <w:sz w:val="24"/>
          <w:szCs w:val="24"/>
        </w:rPr>
        <w:t>of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 xml:space="preserve"> </w:t>
      </w:r>
      <w:r w:rsidR="00AA01D4">
        <w:rPr>
          <w:rFonts w:ascii="Times New Roman" w:hAnsi="Times New Roman" w:cs="Times New Roman"/>
          <w:kern w:val="0"/>
          <w:sz w:val="24"/>
          <w:szCs w:val="24"/>
        </w:rPr>
        <w:t>Mud loach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 xml:space="preserve">, </w:t>
      </w:r>
      <w:r w:rsidR="00AA01D4">
        <w:rPr>
          <w:rFonts w:ascii="Times New Roman" w:eastAsia="AdvT144" w:hAnsi="Times New Roman" w:cs="Times New Roman"/>
          <w:i/>
          <w:kern w:val="0"/>
          <w:sz w:val="24"/>
          <w:szCs w:val="24"/>
        </w:rPr>
        <w:t>Misgurnus mizolepis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 xml:space="preserve">, </w:t>
      </w:r>
      <w:r w:rsidR="00AA01D4">
        <w:rPr>
          <w:rFonts w:ascii="Times New Roman" w:hAnsi="Times New Roman" w:cs="Times New Roman"/>
          <w:kern w:val="0"/>
          <w:sz w:val="24"/>
          <w:szCs w:val="24"/>
        </w:rPr>
        <w:t xml:space="preserve">experimentally 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>in</w:t>
      </w:r>
      <w:r w:rsidR="00AA01D4">
        <w:rPr>
          <w:rFonts w:ascii="Times New Roman" w:hAnsi="Times New Roman" w:cs="Times New Roman"/>
          <w:kern w:val="0"/>
          <w:sz w:val="24"/>
          <w:szCs w:val="24"/>
        </w:rPr>
        <w:t>f</w:t>
      </w:r>
      <w:r w:rsidR="00AA01D4">
        <w:rPr>
          <w:rFonts w:ascii="Times New Roman" w:eastAsia="AdvT143" w:hAnsi="Times New Roman" w:cs="Times New Roman"/>
          <w:kern w:val="0"/>
          <w:sz w:val="24"/>
          <w:szCs w:val="24"/>
        </w:rPr>
        <w:t xml:space="preserve">ected with </w:t>
      </w:r>
      <w:r w:rsidR="00AA01D4">
        <w:rPr>
          <w:rFonts w:ascii="Times New Roman" w:eastAsia="AdvT144" w:hAnsi="Times New Roman" w:cs="Times New Roman"/>
          <w:i/>
          <w:kern w:val="0"/>
          <w:sz w:val="24"/>
          <w:szCs w:val="24"/>
        </w:rPr>
        <w:t>Aeromonas sobria</w:t>
      </w:r>
    </w:p>
    <w:tbl>
      <w:tblPr>
        <w:tblW w:w="499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/>
      </w:tblPr>
      <w:tblGrid>
        <w:gridCol w:w="2693"/>
        <w:gridCol w:w="1561"/>
        <w:gridCol w:w="1559"/>
        <w:gridCol w:w="1559"/>
        <w:gridCol w:w="1649"/>
      </w:tblGrid>
      <w:tr w:rsidR="00AA01D4" w:rsidTr="00AA01D4">
        <w:trPr>
          <w:trHeight w:val="446"/>
        </w:trPr>
        <w:tc>
          <w:tcPr>
            <w:tcW w:w="1493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Hemato-biochemical characteristics</w:t>
            </w:r>
          </w:p>
        </w:tc>
        <w:tc>
          <w:tcPr>
            <w:tcW w:w="865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Control</w:t>
            </w:r>
          </w:p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(Initial level)</w:t>
            </w:r>
          </w:p>
        </w:tc>
        <w:tc>
          <w:tcPr>
            <w:tcW w:w="2642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Days post-infection</w:t>
            </w:r>
          </w:p>
        </w:tc>
      </w:tr>
      <w:tr w:rsidR="00AA01D4" w:rsidTr="00AA01D4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1D4" w:rsidRDefault="00AA01D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1D4" w:rsidRDefault="00AA01D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 1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 3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 5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Ht (%)</w:t>
            </w:r>
          </w:p>
        </w:tc>
        <w:tc>
          <w:tcPr>
            <w:tcW w:w="86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37.8 ± 1.2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30.7 ± 5.2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22.7 ± 2.2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b**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13.3 ± 3.0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Hb (g/dL)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5.4 ± 0.5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5.0 ± 1.0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4.2 ± 2.2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2.8 ± 2.8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Erythrocyte diameter (µm)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8.2 ± 0.3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8.2 ± 0.3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7.5 ± 0.6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6.9 ± 0.5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TLC (10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/mm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80.5 ± 3.5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90.5 ± 5.6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101.5 ± 6.0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55.5 ± 3.5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d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TP (g/L)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5.7 ± 0.6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4.6 ± 0.2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3.9 ± 0.5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2.8 ± 0.7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d**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ALP (KA)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8.0 ± 1.2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7.7 ± 0.7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5.9 ± 0.6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b**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4.0 ± 1.7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b**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Ca (mg/dL)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10.8 ± 0.3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10.9 ± 1.5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8.4 ± 1.3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6.3 ± 1.0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UA (mg/dL)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5.8 ± 0.4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6.6 ± 2.0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9.3 ± 1.6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13.8 ± 2.1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d**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AST (U/L)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109.3 ± 22.8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145.0 ± 14.6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200.5 ± 28.1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312.0 ± 35.0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d**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ALT (U/L)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22.5 ± 6.8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38.7 ± 5.0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56.0 ± 6.3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79.0 ± 10.8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d**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LDH (U/L)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322.9 ± 36.6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459.3 ± 68.5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727.8 ± 60.2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822.8 ± 59.9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d**</w:t>
            </w:r>
          </w:p>
        </w:tc>
      </w:tr>
      <w:tr w:rsidR="00AA01D4" w:rsidTr="00AA01D4">
        <w:trPr>
          <w:trHeight w:val="492"/>
        </w:trPr>
        <w:tc>
          <w:tcPr>
            <w:tcW w:w="1493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GLU (mg/dL)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195.7 ± 24.4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198.8 ± 18.9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115.3 ± 21.9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b**</w:t>
            </w:r>
          </w:p>
        </w:tc>
        <w:tc>
          <w:tcPr>
            <w:tcW w:w="915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1D4" w:rsidRDefault="00AA01D4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80.5± 14.5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  <w:vertAlign w:val="superscript"/>
              </w:rPr>
              <w:t>c**</w:t>
            </w:r>
          </w:p>
        </w:tc>
      </w:tr>
    </w:tbl>
    <w:p w:rsidR="00AA01D4" w:rsidRDefault="00AA01D4" w:rsidP="00AA01D4">
      <w:pPr>
        <w:wordWrap/>
        <w:adjustRightInd w:val="0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AdvT143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kern w:val="0"/>
          <w:sz w:val="24"/>
          <w:szCs w:val="24"/>
        </w:rPr>
        <w:t>ff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 xml:space="preserve">erent superscript </w:t>
      </w:r>
      <w:r>
        <w:rPr>
          <w:rFonts w:ascii="Times New Roman" w:hAnsi="Times New Roman" w:cs="Times New Roman"/>
          <w:kern w:val="0"/>
          <w:sz w:val="24"/>
          <w:szCs w:val="24"/>
        </w:rPr>
        <w:t>letter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s indicate signi</w:t>
      </w:r>
      <w:r>
        <w:rPr>
          <w:rFonts w:ascii="Times New Roman" w:hAnsi="Times New Roman" w:cs="Times New Roman"/>
          <w:kern w:val="0"/>
          <w:sz w:val="24"/>
          <w:szCs w:val="24"/>
        </w:rPr>
        <w:t>fican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t di</w:t>
      </w:r>
      <w:r>
        <w:rPr>
          <w:rFonts w:ascii="Times New Roman" w:hAnsi="Times New Roman" w:cs="Times New Roman"/>
          <w:kern w:val="0"/>
          <w:sz w:val="24"/>
          <w:szCs w:val="24"/>
        </w:rPr>
        <w:t>ff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erence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 xml:space="preserve"> among experimental groups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Single and double asterisks indicate significant differences at </w:t>
      </w:r>
      <w:r>
        <w:rPr>
          <w:rFonts w:ascii="Times New Roman" w:eastAsia="AdvT144" w:hAnsi="Times New Roman" w:cs="Times New Roman"/>
          <w:i/>
          <w:kern w:val="0"/>
          <w:sz w:val="24"/>
          <w:szCs w:val="24"/>
        </w:rPr>
        <w:t>P</w:t>
      </w:r>
      <w:r>
        <w:rPr>
          <w:rFonts w:ascii="Times New Roman" w:eastAsia="AdvT144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&lt;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0.05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and</w:t>
      </w:r>
      <w:r>
        <w:rPr>
          <w:rFonts w:ascii="Times New Roman" w:eastAsia="AdvT144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AdvT144" w:hAnsi="Times New Roman" w:cs="Times New Roman"/>
          <w:i/>
          <w:kern w:val="0"/>
          <w:sz w:val="24"/>
          <w:szCs w:val="24"/>
        </w:rPr>
        <w:t>P</w:t>
      </w:r>
      <w:r>
        <w:rPr>
          <w:rFonts w:ascii="Times New Roman" w:eastAsia="AdvT144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&lt;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0.0</w:t>
      </w:r>
      <w:r>
        <w:rPr>
          <w:rFonts w:ascii="Times New Roman" w:hAnsi="Times New Roman" w:cs="Times New Roman"/>
          <w:kern w:val="0"/>
          <w:sz w:val="24"/>
          <w:szCs w:val="24"/>
        </w:rPr>
        <w:t>1, respectively, between experimental and control groups.</w:t>
      </w:r>
    </w:p>
    <w:p w:rsidR="00AA01D4" w:rsidRDefault="00AA01D4" w:rsidP="00AA01D4">
      <w:pPr>
        <w:widowControl/>
        <w:wordWrap/>
        <w:autoSpaceDE/>
        <w:snapToGrid w:val="0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AdvT143" w:hAnsi="Times New Roman" w:cs="Times New Roman"/>
          <w:kern w:val="0"/>
          <w:sz w:val="24"/>
          <w:szCs w:val="24"/>
        </w:rPr>
        <w:t xml:space="preserve">Ht, hematocrit; Hb, hemoglobin;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TLC, Total leukocyte count;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TP, total protein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ALP,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alkaline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phosphatase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 xml:space="preserve"> Ca, calcium;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UA, urease; AST,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aspartate aminotransferase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; ALT, alanine aminotransferase; LDH, lactate dehydrogenase; GLU, </w:t>
      </w:r>
      <w:r>
        <w:rPr>
          <w:rFonts w:ascii="Times New Roman" w:eastAsia="AdvT143" w:hAnsi="Times New Roman" w:cs="Times New Roman"/>
          <w:kern w:val="0"/>
          <w:sz w:val="24"/>
          <w:szCs w:val="24"/>
        </w:rPr>
        <w:t>glucose</w:t>
      </w:r>
    </w:p>
    <w:sectPr w:rsidR="00AA01D4" w:rsidSect="00596F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786" w:rsidRDefault="00370786" w:rsidP="004B7165">
      <w:r>
        <w:separator/>
      </w:r>
    </w:p>
  </w:endnote>
  <w:endnote w:type="continuationSeparator" w:id="1">
    <w:p w:rsidR="00370786" w:rsidRDefault="00370786" w:rsidP="004B7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T14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144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786" w:rsidRDefault="00370786" w:rsidP="004B7165">
      <w:r>
        <w:separator/>
      </w:r>
    </w:p>
  </w:footnote>
  <w:footnote w:type="continuationSeparator" w:id="1">
    <w:p w:rsidR="00370786" w:rsidRDefault="00370786" w:rsidP="004B7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1D4"/>
    <w:rsid w:val="002819E8"/>
    <w:rsid w:val="00290B42"/>
    <w:rsid w:val="00370786"/>
    <w:rsid w:val="004B7165"/>
    <w:rsid w:val="00596F59"/>
    <w:rsid w:val="00AA01D4"/>
    <w:rsid w:val="00BB08F7"/>
    <w:rsid w:val="00D6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D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1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B7165"/>
  </w:style>
  <w:style w:type="paragraph" w:styleId="a4">
    <w:name w:val="footer"/>
    <w:basedOn w:val="a"/>
    <w:link w:val="Char0"/>
    <w:uiPriority w:val="99"/>
    <w:semiHidden/>
    <w:unhideWhenUsed/>
    <w:rsid w:val="004B71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B7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</cp:revision>
  <dcterms:created xsi:type="dcterms:W3CDTF">2017-04-16T09:26:00Z</dcterms:created>
  <dcterms:modified xsi:type="dcterms:W3CDTF">2017-10-09T06:02:00Z</dcterms:modified>
</cp:coreProperties>
</file>